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9109E" w14:textId="6CB20FD4" w:rsidR="009A2887" w:rsidRPr="00233B05" w:rsidRDefault="00813B0F">
      <w:pPr>
        <w:rPr>
          <w:b/>
          <w:bCs/>
        </w:rPr>
      </w:pPr>
      <w:r>
        <w:rPr>
          <w:b/>
          <w:bCs/>
        </w:rPr>
        <w:t xml:space="preserve">02 </w:t>
      </w:r>
      <w:r w:rsidR="009A2887" w:rsidRPr="00233B05">
        <w:rPr>
          <w:b/>
          <w:bCs/>
        </w:rPr>
        <w:t>M</w:t>
      </w:r>
      <w:r w:rsidR="00491D5D">
        <w:rPr>
          <w:b/>
          <w:bCs/>
        </w:rPr>
        <w:t>ix and M</w:t>
      </w:r>
      <w:r w:rsidR="009A2887" w:rsidRPr="00233B05">
        <w:rPr>
          <w:b/>
          <w:bCs/>
        </w:rPr>
        <w:t xml:space="preserve">atch </w:t>
      </w:r>
      <w:r w:rsidR="00491D5D">
        <w:rPr>
          <w:b/>
          <w:bCs/>
        </w:rPr>
        <w:t>G</w:t>
      </w:r>
      <w:r w:rsidR="009A2887" w:rsidRPr="00233B05">
        <w:rPr>
          <w:b/>
          <w:bCs/>
        </w:rPr>
        <w:t xml:space="preserve">ender </w:t>
      </w:r>
      <w:r w:rsidR="00491D5D">
        <w:rPr>
          <w:b/>
          <w:bCs/>
        </w:rPr>
        <w:t>C</w:t>
      </w:r>
      <w:r w:rsidR="009A2887" w:rsidRPr="00233B05">
        <w:rPr>
          <w:b/>
          <w:bCs/>
        </w:rPr>
        <w:t>oncepts</w:t>
      </w:r>
    </w:p>
    <w:p w14:paraId="5E26FB24" w14:textId="23AC55EA" w:rsidR="009A2887" w:rsidRDefault="00166A04" w:rsidP="009A2887">
      <w:pPr>
        <w:rPr>
          <w:bCs/>
        </w:rPr>
      </w:pPr>
      <w:r>
        <w:rPr>
          <w:bCs/>
        </w:rPr>
        <w:t>Please match the concepts to the correct definition</w:t>
      </w:r>
      <w:r w:rsidR="0000194E">
        <w:rPr>
          <w:bCs/>
        </w:rPr>
        <w:t xml:space="preserve"> by drawing a line between them.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32"/>
        <w:gridCol w:w="2794"/>
        <w:gridCol w:w="9762"/>
      </w:tblGrid>
      <w:tr w:rsidR="00462260" w14:paraId="5A464E4B" w14:textId="77777777" w:rsidTr="00830A48">
        <w:tc>
          <w:tcPr>
            <w:tcW w:w="920" w:type="pct"/>
          </w:tcPr>
          <w:p w14:paraId="2198545A" w14:textId="18DD3734" w:rsidR="00462260" w:rsidRPr="00233B05" w:rsidRDefault="00462260" w:rsidP="00233B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Concepts</w:t>
            </w:r>
          </w:p>
        </w:tc>
        <w:tc>
          <w:tcPr>
            <w:tcW w:w="908" w:type="pct"/>
            <w:vMerge w:val="restart"/>
            <w:tcBorders>
              <w:top w:val="nil"/>
              <w:bottom w:val="nil"/>
            </w:tcBorders>
          </w:tcPr>
          <w:p w14:paraId="4A1FACCA" w14:textId="77777777" w:rsidR="00462260" w:rsidRDefault="00462260" w:rsidP="00233B05">
            <w:pPr>
              <w:jc w:val="center"/>
              <w:rPr>
                <w:b/>
                <w:bCs/>
              </w:rPr>
            </w:pPr>
          </w:p>
        </w:tc>
        <w:tc>
          <w:tcPr>
            <w:tcW w:w="3173" w:type="pct"/>
          </w:tcPr>
          <w:p w14:paraId="6BE8BA77" w14:textId="1DE08A20" w:rsidR="00462260" w:rsidRPr="00233B05" w:rsidRDefault="00462260" w:rsidP="00233B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Definition</w:t>
            </w:r>
          </w:p>
        </w:tc>
      </w:tr>
      <w:tr w:rsidR="00462260" w14:paraId="337911B0" w14:textId="77777777" w:rsidTr="00830A48">
        <w:tc>
          <w:tcPr>
            <w:tcW w:w="920" w:type="pct"/>
          </w:tcPr>
          <w:p w14:paraId="56367A6C" w14:textId="412B85C4" w:rsidR="00462260" w:rsidRDefault="00462260">
            <w:r>
              <w:t>Sex</w:t>
            </w:r>
          </w:p>
        </w:tc>
        <w:tc>
          <w:tcPr>
            <w:tcW w:w="908" w:type="pct"/>
            <w:vMerge/>
            <w:tcBorders>
              <w:bottom w:val="nil"/>
            </w:tcBorders>
          </w:tcPr>
          <w:p w14:paraId="083B887E" w14:textId="77777777" w:rsidR="00462260" w:rsidRPr="00C21605" w:rsidRDefault="00462260" w:rsidP="00C21605"/>
        </w:tc>
        <w:tc>
          <w:tcPr>
            <w:tcW w:w="3173" w:type="pct"/>
          </w:tcPr>
          <w:p w14:paraId="03035FA6" w14:textId="3F759CDE" w:rsidR="00462260" w:rsidRDefault="0922D9AA" w:rsidP="0D493440">
            <w:r>
              <w:t>When a person’s gender identity or expression is different from the</w:t>
            </w:r>
            <w:r w:rsidR="263BB855">
              <w:t xml:space="preserve"> </w:t>
            </w:r>
            <w:r w:rsidR="40C4870A">
              <w:t>gender associated with their sex assigned at birth</w:t>
            </w:r>
            <w:r w:rsidR="0759A58A">
              <w:t xml:space="preserve"> </w:t>
            </w:r>
            <w:r>
              <w:t xml:space="preserve">(for instance, a person born with male genitals but who identifies as female). </w:t>
            </w:r>
            <w:r w:rsidR="00CB6709">
              <w:t>This</w:t>
            </w:r>
            <w:r>
              <w:t xml:space="preserve"> also</w:t>
            </w:r>
            <w:r w:rsidR="6CDE8DBA">
              <w:t xml:space="preserve"> </w:t>
            </w:r>
            <w:r>
              <w:t>includes people who identify with a gender outside the man/woman binary</w:t>
            </w:r>
            <w:r w:rsidR="7799D3DF">
              <w:t>.</w:t>
            </w:r>
          </w:p>
        </w:tc>
      </w:tr>
      <w:tr w:rsidR="00462260" w14:paraId="0CCA6110" w14:textId="77777777" w:rsidTr="00830A48">
        <w:tc>
          <w:tcPr>
            <w:tcW w:w="920" w:type="pct"/>
          </w:tcPr>
          <w:p w14:paraId="571185A4" w14:textId="71EB8896" w:rsidR="00462260" w:rsidRDefault="00462260">
            <w:r>
              <w:t>Intersex</w:t>
            </w:r>
          </w:p>
        </w:tc>
        <w:tc>
          <w:tcPr>
            <w:tcW w:w="908" w:type="pct"/>
            <w:vMerge/>
            <w:tcBorders>
              <w:bottom w:val="nil"/>
            </w:tcBorders>
          </w:tcPr>
          <w:p w14:paraId="5BBFDC42" w14:textId="77777777" w:rsidR="00462260" w:rsidRPr="003E62D1" w:rsidRDefault="00462260" w:rsidP="003E62D1"/>
        </w:tc>
        <w:tc>
          <w:tcPr>
            <w:tcW w:w="3173" w:type="pct"/>
          </w:tcPr>
          <w:p w14:paraId="009D44D7" w14:textId="77777777" w:rsidR="00462260" w:rsidRDefault="05BAB979" w:rsidP="0D493440">
            <w:r>
              <w:t xml:space="preserve">Exclusion of a person from educational opportunities, meaningful careers, political influence, and opportunities for economic advancement based on their </w:t>
            </w:r>
            <w:r w:rsidR="72649EC4">
              <w:t>sex.</w:t>
            </w:r>
          </w:p>
          <w:p w14:paraId="5640BE1E" w14:textId="47B18738" w:rsidR="008F0917" w:rsidRPr="00C21605" w:rsidRDefault="008F0917" w:rsidP="0D493440"/>
        </w:tc>
      </w:tr>
      <w:tr w:rsidR="00462260" w14:paraId="02FC25E5" w14:textId="77777777" w:rsidTr="00830A48">
        <w:tc>
          <w:tcPr>
            <w:tcW w:w="920" w:type="pct"/>
          </w:tcPr>
          <w:p w14:paraId="6FAF3851" w14:textId="00D70580" w:rsidR="00462260" w:rsidRDefault="00462260">
            <w:r>
              <w:t xml:space="preserve">Gender </w:t>
            </w:r>
          </w:p>
        </w:tc>
        <w:tc>
          <w:tcPr>
            <w:tcW w:w="908" w:type="pct"/>
            <w:vMerge/>
            <w:tcBorders>
              <w:bottom w:val="nil"/>
            </w:tcBorders>
          </w:tcPr>
          <w:p w14:paraId="089A4CA6" w14:textId="77777777" w:rsidR="00462260" w:rsidRPr="00233B05" w:rsidRDefault="00462260" w:rsidP="00233B05"/>
        </w:tc>
        <w:tc>
          <w:tcPr>
            <w:tcW w:w="3173" w:type="pct"/>
          </w:tcPr>
          <w:p w14:paraId="1D383781" w14:textId="77777777" w:rsidR="00462260" w:rsidRDefault="04385A16" w:rsidP="0D493440">
            <w:r>
              <w:t>Some people do not fit into the traditional binary gender divide (boy/girl, man/woman) and identify as neither man nor woman, but somewhere in between. Some may also identify as a mix of man and woman.</w:t>
            </w:r>
          </w:p>
          <w:p w14:paraId="301078EF" w14:textId="59048391" w:rsidR="008F0917" w:rsidRPr="003E62D1" w:rsidRDefault="008F0917" w:rsidP="0D493440"/>
        </w:tc>
      </w:tr>
      <w:tr w:rsidR="00462260" w14:paraId="3B5C1804" w14:textId="77777777" w:rsidTr="00830A48">
        <w:tc>
          <w:tcPr>
            <w:tcW w:w="920" w:type="pct"/>
          </w:tcPr>
          <w:p w14:paraId="46A85120" w14:textId="7860F62D" w:rsidR="00462260" w:rsidRDefault="00462260">
            <w:r>
              <w:t>Gender roles</w:t>
            </w:r>
          </w:p>
        </w:tc>
        <w:tc>
          <w:tcPr>
            <w:tcW w:w="908" w:type="pct"/>
            <w:vMerge/>
            <w:tcBorders>
              <w:bottom w:val="nil"/>
            </w:tcBorders>
          </w:tcPr>
          <w:p w14:paraId="77110966" w14:textId="77777777" w:rsidR="00462260" w:rsidRPr="00C21605" w:rsidRDefault="00462260" w:rsidP="00C21605"/>
        </w:tc>
        <w:tc>
          <w:tcPr>
            <w:tcW w:w="3173" w:type="pct"/>
          </w:tcPr>
          <w:p w14:paraId="5D7BC65B" w14:textId="707589C4" w:rsidR="00462260" w:rsidRDefault="3C1B2AD7" w:rsidP="0D493440">
            <w:r>
              <w:t>A person’s internal sense of being male, female, a combination or neither</w:t>
            </w:r>
            <w:r w:rsidR="005026A0">
              <w:t>.</w:t>
            </w:r>
          </w:p>
          <w:p w14:paraId="423D0E58" w14:textId="6F8BB3C0" w:rsidR="005026A0" w:rsidRDefault="005026A0" w:rsidP="0D493440"/>
        </w:tc>
      </w:tr>
      <w:tr w:rsidR="00462260" w14:paraId="18C6E28F" w14:textId="77777777" w:rsidTr="00830A48">
        <w:tc>
          <w:tcPr>
            <w:tcW w:w="920" w:type="pct"/>
          </w:tcPr>
          <w:p w14:paraId="26B28E48" w14:textId="34AEEE80" w:rsidR="00462260" w:rsidRDefault="00462260">
            <w:r>
              <w:t>Gender non-conforming</w:t>
            </w:r>
          </w:p>
        </w:tc>
        <w:tc>
          <w:tcPr>
            <w:tcW w:w="908" w:type="pct"/>
            <w:vMerge/>
            <w:tcBorders>
              <w:bottom w:val="nil"/>
            </w:tcBorders>
          </w:tcPr>
          <w:p w14:paraId="35B954A5" w14:textId="77777777" w:rsidR="00462260" w:rsidRPr="00C21605" w:rsidRDefault="00462260" w:rsidP="00C21605"/>
        </w:tc>
        <w:tc>
          <w:tcPr>
            <w:tcW w:w="3173" w:type="pct"/>
          </w:tcPr>
          <w:p w14:paraId="2B09246B" w14:textId="03612F42" w:rsidR="00462260" w:rsidRDefault="076920B3" w:rsidP="0D493440">
            <w:r>
              <w:t xml:space="preserve">Plans and actions that address the different needs and aspirations of people of different </w:t>
            </w:r>
            <w:r w:rsidR="7A42B15A">
              <w:t>sexes and associated gender</w:t>
            </w:r>
            <w:r>
              <w:t xml:space="preserve"> or taking actions to correct or prevent gender bias and discrimination to ensure gender equality and equity.</w:t>
            </w:r>
          </w:p>
        </w:tc>
      </w:tr>
      <w:tr w:rsidR="00462260" w14:paraId="0C6FFD8F" w14:textId="77777777" w:rsidTr="00830A48">
        <w:tc>
          <w:tcPr>
            <w:tcW w:w="920" w:type="pct"/>
          </w:tcPr>
          <w:p w14:paraId="57122752" w14:textId="7E73983E" w:rsidR="00462260" w:rsidRDefault="00462260">
            <w:r>
              <w:t>Gender identity</w:t>
            </w:r>
          </w:p>
        </w:tc>
        <w:tc>
          <w:tcPr>
            <w:tcW w:w="908" w:type="pct"/>
            <w:vMerge/>
            <w:tcBorders>
              <w:bottom w:val="nil"/>
            </w:tcBorders>
          </w:tcPr>
          <w:p w14:paraId="22614039" w14:textId="77777777" w:rsidR="00462260" w:rsidRPr="00C21605" w:rsidRDefault="00462260" w:rsidP="00C21605"/>
        </w:tc>
        <w:tc>
          <w:tcPr>
            <w:tcW w:w="3173" w:type="pct"/>
          </w:tcPr>
          <w:p w14:paraId="44B6481A" w14:textId="38ECBC51" w:rsidR="00462260" w:rsidRDefault="54150212" w:rsidP="0D493440">
            <w:r>
              <w:t xml:space="preserve">Activities, tasks, and responsibilities ascribed to a group of people based on their </w:t>
            </w:r>
            <w:r w:rsidR="2FD257D3">
              <w:t>sex</w:t>
            </w:r>
            <w:r>
              <w:t>.</w:t>
            </w:r>
          </w:p>
          <w:p w14:paraId="6E7B54C5" w14:textId="63B9EA7F" w:rsidR="00462260" w:rsidRDefault="00462260" w:rsidP="0D493440"/>
        </w:tc>
      </w:tr>
      <w:tr w:rsidR="00462260" w14:paraId="4BC74365" w14:textId="77777777" w:rsidTr="00830A48">
        <w:tc>
          <w:tcPr>
            <w:tcW w:w="920" w:type="pct"/>
          </w:tcPr>
          <w:p w14:paraId="3F5F1152" w14:textId="4329DFF9" w:rsidR="00462260" w:rsidRDefault="00AE682F">
            <w:r>
              <w:t>T</w:t>
            </w:r>
            <w:r w:rsidR="00462260">
              <w:t>ransgender</w:t>
            </w:r>
          </w:p>
        </w:tc>
        <w:tc>
          <w:tcPr>
            <w:tcW w:w="908" w:type="pct"/>
            <w:vMerge/>
            <w:tcBorders>
              <w:bottom w:val="nil"/>
            </w:tcBorders>
          </w:tcPr>
          <w:p w14:paraId="3DDE53E2" w14:textId="77777777" w:rsidR="00462260" w:rsidRPr="00C21605" w:rsidRDefault="00462260" w:rsidP="00C21605"/>
        </w:tc>
        <w:tc>
          <w:tcPr>
            <w:tcW w:w="3173" w:type="pct"/>
          </w:tcPr>
          <w:p w14:paraId="330C8E0A" w14:textId="77777777" w:rsidR="00462260" w:rsidRDefault="3E213526" w:rsidP="0D493440">
            <w:r>
              <w:t>An unfair difference in the way people of different sexes and associated genders are treated</w:t>
            </w:r>
            <w:r w:rsidR="7048827A">
              <w:t>.</w:t>
            </w:r>
          </w:p>
          <w:p w14:paraId="3D283D5F" w14:textId="6F052295" w:rsidR="00215587" w:rsidRDefault="00215587" w:rsidP="0D493440"/>
        </w:tc>
      </w:tr>
      <w:tr w:rsidR="00462260" w14:paraId="1BD6B34F" w14:textId="77777777" w:rsidTr="00830A48">
        <w:tc>
          <w:tcPr>
            <w:tcW w:w="920" w:type="pct"/>
          </w:tcPr>
          <w:p w14:paraId="36716A62" w14:textId="4BF0B22E" w:rsidR="00462260" w:rsidRDefault="00462260">
            <w:r>
              <w:t>Gender-non</w:t>
            </w:r>
            <w:r w:rsidR="61C46396">
              <w:t>-</w:t>
            </w:r>
            <w:r>
              <w:t>binary</w:t>
            </w:r>
          </w:p>
        </w:tc>
        <w:tc>
          <w:tcPr>
            <w:tcW w:w="908" w:type="pct"/>
            <w:vMerge/>
            <w:tcBorders>
              <w:bottom w:val="nil"/>
            </w:tcBorders>
          </w:tcPr>
          <w:p w14:paraId="7D05D492" w14:textId="77777777" w:rsidR="00462260" w:rsidRPr="00C21605" w:rsidRDefault="00462260" w:rsidP="00C21605"/>
        </w:tc>
        <w:tc>
          <w:tcPr>
            <w:tcW w:w="3173" w:type="pct"/>
          </w:tcPr>
          <w:p w14:paraId="32AC3553" w14:textId="77777777" w:rsidR="00462260" w:rsidRDefault="615F6961" w:rsidP="0D493440">
            <w:r>
              <w:t>The personal and social characteristics associated with being male, female, a combination or neither.</w:t>
            </w:r>
          </w:p>
          <w:p w14:paraId="380B12A2" w14:textId="5792B810" w:rsidR="000C5540" w:rsidRDefault="000C5540" w:rsidP="0D493440"/>
        </w:tc>
      </w:tr>
      <w:tr w:rsidR="00462260" w14:paraId="0DE3E061" w14:textId="77777777" w:rsidTr="00830A48">
        <w:tc>
          <w:tcPr>
            <w:tcW w:w="920" w:type="pct"/>
          </w:tcPr>
          <w:p w14:paraId="16A9AB1A" w14:textId="21F347A3" w:rsidR="00462260" w:rsidRDefault="00462260">
            <w:r>
              <w:t>Gender -bias</w:t>
            </w:r>
          </w:p>
        </w:tc>
        <w:tc>
          <w:tcPr>
            <w:tcW w:w="908" w:type="pct"/>
            <w:vMerge/>
            <w:tcBorders>
              <w:bottom w:val="nil"/>
            </w:tcBorders>
          </w:tcPr>
          <w:p w14:paraId="4638D3C2" w14:textId="77777777" w:rsidR="00462260" w:rsidRPr="00C21605" w:rsidRDefault="00462260" w:rsidP="00C21605"/>
        </w:tc>
        <w:tc>
          <w:tcPr>
            <w:tcW w:w="3173" w:type="pct"/>
          </w:tcPr>
          <w:p w14:paraId="0615D047" w14:textId="6BD0BEFB" w:rsidR="00462260" w:rsidRDefault="00462260" w:rsidP="00C21605">
            <w:r>
              <w:t xml:space="preserve">The assignment and classification of people as male, female or intersex, based on biological differences at birth. </w:t>
            </w:r>
          </w:p>
        </w:tc>
      </w:tr>
      <w:tr w:rsidR="00462260" w14:paraId="52C0D55E" w14:textId="77777777" w:rsidTr="00830A48">
        <w:tc>
          <w:tcPr>
            <w:tcW w:w="920" w:type="pct"/>
          </w:tcPr>
          <w:p w14:paraId="7A239FA2" w14:textId="03AC77BB" w:rsidR="00462260" w:rsidRDefault="00462260">
            <w:r>
              <w:t>Gender stereotypes</w:t>
            </w:r>
          </w:p>
        </w:tc>
        <w:tc>
          <w:tcPr>
            <w:tcW w:w="908" w:type="pct"/>
            <w:vMerge/>
            <w:tcBorders>
              <w:bottom w:val="nil"/>
            </w:tcBorders>
          </w:tcPr>
          <w:p w14:paraId="2D09E5E2" w14:textId="77777777" w:rsidR="00462260" w:rsidRPr="00C21605" w:rsidRDefault="00462260" w:rsidP="00C21605"/>
        </w:tc>
        <w:tc>
          <w:tcPr>
            <w:tcW w:w="3173" w:type="pct"/>
          </w:tcPr>
          <w:p w14:paraId="024D26F5" w14:textId="77777777" w:rsidR="00462260" w:rsidRDefault="7BDF99DD" w:rsidP="0D493440">
            <w:pPr>
              <w:rPr>
                <w:rFonts w:ascii="Calibri" w:eastAsia="Calibri" w:hAnsi="Calibri" w:cs="Calibri"/>
              </w:rPr>
            </w:pPr>
            <w:r w:rsidRPr="0D493440">
              <w:rPr>
                <w:rFonts w:ascii="Calibri" w:eastAsia="Calibri" w:hAnsi="Calibri" w:cs="Calibri"/>
              </w:rPr>
              <w:t>When someone does not conform to typical gender roles.</w:t>
            </w:r>
          </w:p>
          <w:p w14:paraId="43B0051C" w14:textId="4E1121DE" w:rsidR="0063155A" w:rsidRDefault="0063155A" w:rsidP="0D493440">
            <w:pPr>
              <w:rPr>
                <w:rFonts w:ascii="Calibri" w:eastAsia="Calibri" w:hAnsi="Calibri" w:cs="Calibri"/>
              </w:rPr>
            </w:pPr>
          </w:p>
        </w:tc>
      </w:tr>
      <w:tr w:rsidR="00462260" w14:paraId="1AFB1799" w14:textId="77777777" w:rsidTr="00830A48">
        <w:tc>
          <w:tcPr>
            <w:tcW w:w="920" w:type="pct"/>
          </w:tcPr>
          <w:p w14:paraId="13AC6578" w14:textId="04C1A4E3" w:rsidR="00462260" w:rsidRDefault="00462260">
            <w:r>
              <w:t>Gender based discrimination</w:t>
            </w:r>
          </w:p>
        </w:tc>
        <w:tc>
          <w:tcPr>
            <w:tcW w:w="908" w:type="pct"/>
            <w:vMerge/>
            <w:tcBorders>
              <w:bottom w:val="nil"/>
            </w:tcBorders>
          </w:tcPr>
          <w:p w14:paraId="07813F51" w14:textId="77777777" w:rsidR="00462260" w:rsidRPr="00C21605" w:rsidRDefault="00462260" w:rsidP="00C21605"/>
        </w:tc>
        <w:tc>
          <w:tcPr>
            <w:tcW w:w="3173" w:type="pct"/>
          </w:tcPr>
          <w:p w14:paraId="6D84F528" w14:textId="77777777" w:rsidR="00462260" w:rsidRDefault="3EFD641E" w:rsidP="0D493440">
            <w:r>
              <w:t>Teaching and learning processes that pay attention to the specific needs of children of different sex</w:t>
            </w:r>
            <w:r w:rsidR="1C599915">
              <w:t>es.</w:t>
            </w:r>
          </w:p>
          <w:p w14:paraId="57BD79EB" w14:textId="32B53A29" w:rsidR="000C5540" w:rsidRDefault="000C5540" w:rsidP="0D493440"/>
        </w:tc>
      </w:tr>
      <w:tr w:rsidR="00462260" w14:paraId="015685EC" w14:textId="77777777" w:rsidTr="00830A48">
        <w:tc>
          <w:tcPr>
            <w:tcW w:w="920" w:type="pct"/>
          </w:tcPr>
          <w:p w14:paraId="28F7C453" w14:textId="2C9AEF17" w:rsidR="00462260" w:rsidRPr="002C5463" w:rsidRDefault="00462260" w:rsidP="0D493440">
            <w:r w:rsidRPr="002C5463">
              <w:t>Gender equ</w:t>
            </w:r>
            <w:r w:rsidR="2DBE7B54" w:rsidRPr="002C5463">
              <w:t>ality</w:t>
            </w:r>
          </w:p>
        </w:tc>
        <w:tc>
          <w:tcPr>
            <w:tcW w:w="908" w:type="pct"/>
            <w:vMerge/>
            <w:tcBorders>
              <w:bottom w:val="nil"/>
            </w:tcBorders>
          </w:tcPr>
          <w:p w14:paraId="6C490827" w14:textId="77777777" w:rsidR="00462260" w:rsidRPr="003E62D1" w:rsidRDefault="00462260" w:rsidP="003E62D1"/>
        </w:tc>
        <w:tc>
          <w:tcPr>
            <w:tcW w:w="3173" w:type="pct"/>
          </w:tcPr>
          <w:p w14:paraId="33B544DF" w14:textId="1AD4155F" w:rsidR="00462260" w:rsidRDefault="10496547" w:rsidP="0D493440">
            <w:r>
              <w:t>A variety of conditions where a person’s anatomy does not fit the typical definition of male and female</w:t>
            </w:r>
            <w:r w:rsidR="00830A48">
              <w:t>.</w:t>
            </w:r>
          </w:p>
          <w:p w14:paraId="44335BD3" w14:textId="20BDFD90" w:rsidR="000C5540" w:rsidRDefault="000C5540" w:rsidP="0D493440"/>
        </w:tc>
      </w:tr>
      <w:tr w:rsidR="00462260" w14:paraId="219422C8" w14:textId="77777777" w:rsidTr="00830A48">
        <w:tc>
          <w:tcPr>
            <w:tcW w:w="920" w:type="pct"/>
          </w:tcPr>
          <w:p w14:paraId="464FC858" w14:textId="117DC38A" w:rsidR="00462260" w:rsidRDefault="00462260">
            <w:r>
              <w:t>Gender responsiveness</w:t>
            </w:r>
          </w:p>
        </w:tc>
        <w:tc>
          <w:tcPr>
            <w:tcW w:w="908" w:type="pct"/>
            <w:vMerge/>
            <w:tcBorders>
              <w:bottom w:val="nil"/>
            </w:tcBorders>
          </w:tcPr>
          <w:p w14:paraId="1EB3ABFC" w14:textId="77777777" w:rsidR="00462260" w:rsidRPr="003E62D1" w:rsidRDefault="00462260" w:rsidP="003E62D1"/>
        </w:tc>
        <w:tc>
          <w:tcPr>
            <w:tcW w:w="3173" w:type="pct"/>
          </w:tcPr>
          <w:p w14:paraId="39E2AA71" w14:textId="77777777" w:rsidR="00462260" w:rsidRDefault="0BE14F12" w:rsidP="008F0917">
            <w:r>
              <w:t>Biased beliefs about the personal attributes, behaviours, and roles of a specific social group</w:t>
            </w:r>
            <w:r w:rsidR="008F0917">
              <w:t xml:space="preserve"> </w:t>
            </w:r>
            <w:r w:rsidR="00BA0BEE">
              <w:t>(for example women should take care of babies while men need to provide for the family).</w:t>
            </w:r>
          </w:p>
          <w:p w14:paraId="7DC59FE5" w14:textId="1AE40D65" w:rsidR="008F0917" w:rsidRDefault="008F0917" w:rsidP="008F0917"/>
        </w:tc>
      </w:tr>
      <w:tr w:rsidR="00462260" w14:paraId="0768E7CA" w14:textId="77777777" w:rsidTr="00830A48">
        <w:tc>
          <w:tcPr>
            <w:tcW w:w="920" w:type="pct"/>
          </w:tcPr>
          <w:p w14:paraId="20C21A66" w14:textId="4C932814" w:rsidR="00462260" w:rsidRDefault="00462260">
            <w:r>
              <w:t>Gender responsive pedagogy</w:t>
            </w:r>
          </w:p>
        </w:tc>
        <w:tc>
          <w:tcPr>
            <w:tcW w:w="908" w:type="pct"/>
            <w:vMerge/>
            <w:tcBorders>
              <w:bottom w:val="nil"/>
            </w:tcBorders>
          </w:tcPr>
          <w:p w14:paraId="0D90BB03" w14:textId="77777777" w:rsidR="00462260" w:rsidRPr="003E62D1" w:rsidRDefault="00462260" w:rsidP="003E62D1"/>
        </w:tc>
        <w:tc>
          <w:tcPr>
            <w:tcW w:w="3173" w:type="pct"/>
          </w:tcPr>
          <w:p w14:paraId="517B6F47" w14:textId="13A8FFDC" w:rsidR="00462260" w:rsidRDefault="46B75224" w:rsidP="0D493440">
            <w:r>
              <w:t xml:space="preserve">The absence of discrimination based on a person’s </w:t>
            </w:r>
            <w:r w:rsidR="182CB7D6">
              <w:t>sex and associated gender</w:t>
            </w:r>
            <w:r>
              <w:t xml:space="preserve">. It implies that society sees everyone as equal, regardless of their </w:t>
            </w:r>
            <w:r w:rsidR="5E296574">
              <w:t>sex</w:t>
            </w:r>
            <w:r>
              <w:t>.</w:t>
            </w:r>
          </w:p>
        </w:tc>
      </w:tr>
    </w:tbl>
    <w:p w14:paraId="446A2647" w14:textId="77777777" w:rsidR="009A2887" w:rsidRDefault="009A2887"/>
    <w:sectPr w:rsidR="009A2887" w:rsidSect="000C55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887"/>
    <w:rsid w:val="0000194E"/>
    <w:rsid w:val="000C5540"/>
    <w:rsid w:val="00166A04"/>
    <w:rsid w:val="001A4ACC"/>
    <w:rsid w:val="00214E1A"/>
    <w:rsid w:val="00215587"/>
    <w:rsid w:val="00233B05"/>
    <w:rsid w:val="00254435"/>
    <w:rsid w:val="002C5463"/>
    <w:rsid w:val="003E62D1"/>
    <w:rsid w:val="00430A5A"/>
    <w:rsid w:val="00462260"/>
    <w:rsid w:val="00491D5D"/>
    <w:rsid w:val="004A6A7A"/>
    <w:rsid w:val="005026A0"/>
    <w:rsid w:val="0063155A"/>
    <w:rsid w:val="00784D2B"/>
    <w:rsid w:val="00813B0F"/>
    <w:rsid w:val="00830A48"/>
    <w:rsid w:val="008B5025"/>
    <w:rsid w:val="008F0917"/>
    <w:rsid w:val="00907447"/>
    <w:rsid w:val="00932ED2"/>
    <w:rsid w:val="009A2887"/>
    <w:rsid w:val="00A85960"/>
    <w:rsid w:val="00AC7FF8"/>
    <w:rsid w:val="00AE682F"/>
    <w:rsid w:val="00B658A1"/>
    <w:rsid w:val="00BA09FE"/>
    <w:rsid w:val="00BA0BEE"/>
    <w:rsid w:val="00C21605"/>
    <w:rsid w:val="00C96E2F"/>
    <w:rsid w:val="00CB6709"/>
    <w:rsid w:val="00F40829"/>
    <w:rsid w:val="00FC200A"/>
    <w:rsid w:val="04385A16"/>
    <w:rsid w:val="05BAB979"/>
    <w:rsid w:val="0628C8D8"/>
    <w:rsid w:val="0759A58A"/>
    <w:rsid w:val="076920B3"/>
    <w:rsid w:val="07B20277"/>
    <w:rsid w:val="090A9C7B"/>
    <w:rsid w:val="0922D9AA"/>
    <w:rsid w:val="0B73F0E3"/>
    <w:rsid w:val="0BE14F12"/>
    <w:rsid w:val="0D363301"/>
    <w:rsid w:val="0D493440"/>
    <w:rsid w:val="10496547"/>
    <w:rsid w:val="148A26B5"/>
    <w:rsid w:val="182CB7D6"/>
    <w:rsid w:val="196C75CA"/>
    <w:rsid w:val="1C013322"/>
    <w:rsid w:val="1C599915"/>
    <w:rsid w:val="1F31B0A7"/>
    <w:rsid w:val="1F7E951C"/>
    <w:rsid w:val="22CB4FDB"/>
    <w:rsid w:val="263BB855"/>
    <w:rsid w:val="26489AF2"/>
    <w:rsid w:val="26749C55"/>
    <w:rsid w:val="26B19FCB"/>
    <w:rsid w:val="26B23E31"/>
    <w:rsid w:val="28C5C47F"/>
    <w:rsid w:val="2DBE7B54"/>
    <w:rsid w:val="2FD257D3"/>
    <w:rsid w:val="36BA8028"/>
    <w:rsid w:val="37D700AA"/>
    <w:rsid w:val="382D379C"/>
    <w:rsid w:val="3C1B2AD7"/>
    <w:rsid w:val="3E213526"/>
    <w:rsid w:val="3EFD641E"/>
    <w:rsid w:val="40AEAB8A"/>
    <w:rsid w:val="40C4870A"/>
    <w:rsid w:val="46B75224"/>
    <w:rsid w:val="48C7D118"/>
    <w:rsid w:val="4AA57BD2"/>
    <w:rsid w:val="4B85F585"/>
    <w:rsid w:val="4ECDDF97"/>
    <w:rsid w:val="50B02E97"/>
    <w:rsid w:val="54150212"/>
    <w:rsid w:val="55B53212"/>
    <w:rsid w:val="5907668F"/>
    <w:rsid w:val="5E296574"/>
    <w:rsid w:val="5E928C60"/>
    <w:rsid w:val="615F6961"/>
    <w:rsid w:val="61C46396"/>
    <w:rsid w:val="683F311D"/>
    <w:rsid w:val="68ABC7BE"/>
    <w:rsid w:val="6CDE8DBA"/>
    <w:rsid w:val="7048827A"/>
    <w:rsid w:val="72649EC4"/>
    <w:rsid w:val="75273447"/>
    <w:rsid w:val="7708603E"/>
    <w:rsid w:val="7799D3DF"/>
    <w:rsid w:val="77EFADB7"/>
    <w:rsid w:val="7A42B15A"/>
    <w:rsid w:val="7BDF99DD"/>
    <w:rsid w:val="7CAEFA3E"/>
    <w:rsid w:val="7EFA4AC1"/>
    <w:rsid w:val="7FB98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FEFC27"/>
  <w15:chartTrackingRefBased/>
  <w15:docId w15:val="{A30B104E-BE1C-4108-882A-5290CE7EA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2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A4A34333AA4E4B963D42176609BF46" ma:contentTypeVersion="25" ma:contentTypeDescription="Create a new document." ma:contentTypeScope="" ma:versionID="313460367af80af3b6726c53ed5931e3">
  <xsd:schema xmlns:xsd="http://www.w3.org/2001/XMLSchema" xmlns:xs="http://www.w3.org/2001/XMLSchema" xmlns:p="http://schemas.microsoft.com/office/2006/metadata/properties" xmlns:ns2="c276e9ac-11d5-4e80-a39b-8e7eee301d79" xmlns:ns3="e02fff17-c085-42ca-8052-bec6af4d82b0" targetNamespace="http://schemas.microsoft.com/office/2006/metadata/properties" ma:root="true" ma:fieldsID="2df79d271ed184020cb1601a5fa6cd4b" ns2:_="" ns3:_="">
    <xsd:import namespace="c276e9ac-11d5-4e80-a39b-8e7eee301d79"/>
    <xsd:import namespace="e02fff17-c085-42ca-8052-bec6af4d82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6e9ac-11d5-4e80-a39b-8e7eee301d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2fff17-c085-42ca-8052-bec6af4d82b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376383-ACAB-41EF-BE56-292A848C31C3}"/>
</file>

<file path=customXml/itemProps2.xml><?xml version="1.0" encoding="utf-8"?>
<ds:datastoreItem xmlns:ds="http://schemas.openxmlformats.org/officeDocument/2006/customXml" ds:itemID="{8B5CD156-8DFE-4828-9C14-DBF15F801DF2}"/>
</file>

<file path=customXml/itemProps3.xml><?xml version="1.0" encoding="utf-8"?>
<ds:datastoreItem xmlns:ds="http://schemas.openxmlformats.org/officeDocument/2006/customXml" ds:itemID="{7D9FA1AF-0D05-49CA-8E1F-E30109812A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Philisiwe Ndlovu</dc:creator>
  <cp:keywords/>
  <dc:description/>
  <cp:lastModifiedBy>Hanne Huysmans</cp:lastModifiedBy>
  <cp:revision>33</cp:revision>
  <dcterms:created xsi:type="dcterms:W3CDTF">2020-09-15T04:30:00Z</dcterms:created>
  <dcterms:modified xsi:type="dcterms:W3CDTF">2020-10-09T06:57:00Z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0x0101009BA4A34333AA4E4B963D42176609BF46</vt:lpwstr>
  </property>
  <property fmtid="{D5CDD505-2E9C-101B-9397-08002B2CF9AE}" pid="3" name="Order">
    <vt:r8>5200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